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Товарные весы ЗЕВС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А12L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-333374</wp:posOffset>
            </wp:positionV>
            <wp:extent cx="1647825" cy="552450"/>
            <wp:effectExtent b="0" l="0" r="0" t="0"/>
            <wp:wrapSquare wrapText="bothSides" distB="0" distT="0" distL="0" distR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Rule="auto"/>
        <w:ind w:firstLine="2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6010275" cy="1285875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28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Простота эксплуатации, низкое энергопотребление, высокое качество весов при относительно невысокой цене делают весы ЗЕВС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А12L востребованными на рынке Украины в таких отраслях как сельское хозяйство, складское хозяйство, сфера торговли, и прочее где не требуется расширенного набора функций и учета результатов взвешивания при помощи ПК.</w:t>
      </w:r>
    </w:p>
    <w:p w:rsidR="00000000" w:rsidDel="00000000" w:rsidP="00000000" w:rsidRDefault="00000000" w:rsidRPr="00000000" w14:paraId="00000005">
      <w:pPr>
        <w:ind w:firstLine="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Функции весов ЗЕВС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А12L: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низкое энергопотребление;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обнуление;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тарирования;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суммирование веса;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переключения кг/фунт;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Комплектация для весов ЗЕВС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А12L: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металлическая окрашенная платформа (рамное исполнение), покрытая съемной крышкой из нержавеющей стали;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индикатор А12L (в корпусе из пластика), который можно закрепить на стойке или поставить на стол, степень защиты IP53, рабочий диапазон температур от -10˚С до +40˚С;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датчик тензометрический Zemic, алюминиевый сплав, степень защиты IP65, рабочий диапазон температур от -30˚С до +40˚С;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съёмная стойка из нержавеющей стали;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руководство по эксплуатации весов.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5.0" w:type="dxa"/>
        <w:jc w:val="left"/>
        <w:tblInd w:w="-49.0" w:type="dxa"/>
        <w:tblBorders>
          <w:top w:color="00000a" w:space="0" w:sz="8" w:val="single"/>
          <w:left w:color="00000a" w:space="0" w:sz="4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400"/>
      </w:tblPr>
      <w:tblGrid>
        <w:gridCol w:w="1968"/>
        <w:gridCol w:w="735"/>
        <w:gridCol w:w="695"/>
        <w:gridCol w:w="708"/>
        <w:gridCol w:w="1715"/>
        <w:gridCol w:w="1692"/>
        <w:gridCol w:w="1692"/>
        <w:tblGridChange w:id="0">
          <w:tblGrid>
            <w:gridCol w:w="1968"/>
            <w:gridCol w:w="735"/>
            <w:gridCol w:w="695"/>
            <w:gridCol w:w="708"/>
            <w:gridCol w:w="1715"/>
            <w:gridCol w:w="1692"/>
            <w:gridCol w:w="1692"/>
          </w:tblGrid>
        </w:tblGridChange>
      </w:tblGrid>
      <w:tr>
        <w:trPr>
          <w:trHeight w:val="476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Мах, кг.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Min, кг.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d=e,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d9d9d9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Размеры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Платформы,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ВПЕ-30-1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0,2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400Х500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ВПЕ-60-1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0,4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ВПЕ-100-1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ВПЕ-150-1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150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ВПЕ-200-1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ВПЕ-300-1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600х800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ВПЕ-500-1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ВПЕ-600-1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pos="2410"/>
        </w:tabs>
        <w:spacing w:before="120" w:lineRule="auto"/>
        <w:ind w:firstLine="0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Весы соответствуют ДСТУ EN 45501:2007. В стоимость весов включена стоимость метрологической поверки</w:t>
      </w:r>
    </w:p>
    <w:p w:rsidR="00000000" w:rsidDel="00000000" w:rsidP="00000000" w:rsidRDefault="00000000" w:rsidRPr="00000000" w14:paraId="00000054">
      <w:pPr>
        <w:tabs>
          <w:tab w:val="left" w:pos="2410"/>
        </w:tabs>
        <w:spacing w:before="120" w:lineRule="auto"/>
        <w:ind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pos="1029"/>
        </w:tabs>
        <w:ind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Гарантия на весы ЗЕВС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ОДИН ГОД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постгарантийное обслуживание.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6">
      <w:pPr>
        <w:widowControl w:val="0"/>
        <w:tabs>
          <w:tab w:val="left" w:pos="1029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780" y="3779640"/>
                          <a:ext cx="5392440" cy="7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EB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3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993" w:top="851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Liberation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before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a" w:default="1">
    <w:name w:val="Normal"/>
    <w:qFormat w:val="1"/>
    <w:rsid w:val="00D6586E"/>
    <w:pPr>
      <w:spacing w:before="60"/>
      <w:ind w:firstLine="709"/>
    </w:pPr>
    <w:rPr>
      <w:rFonts w:ascii="Calibri" w:eastAsia="Calibri" w:hAnsi="Calibri"/>
      <w:color w:val="00000a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Текст выноски Знак"/>
    <w:basedOn w:val="a0"/>
    <w:uiPriority w:val="99"/>
    <w:semiHidden w:val="1"/>
    <w:qFormat w:val="1"/>
    <w:rsid w:val="004755B0"/>
    <w:rPr>
      <w:rFonts w:ascii="Tahoma" w:cs="Tahoma" w:hAnsi="Tahoma"/>
      <w:sz w:val="16"/>
      <w:szCs w:val="16"/>
    </w:rPr>
  </w:style>
  <w:style w:type="character" w:styleId="a4" w:customStyle="1">
    <w:name w:val="Без интервала Знак"/>
    <w:uiPriority w:val="1"/>
    <w:qFormat w:val="1"/>
    <w:rsid w:val="003325E3"/>
    <w:rPr>
      <w:rFonts w:ascii="Calibri" w:cs="Times New Roman" w:eastAsia="Times New Roman" w:hAnsi="Calibri"/>
      <w:lang w:eastAsia="ru-RU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Wingdings"/>
      <w:sz w:val="24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Wingdings"/>
    </w:rPr>
  </w:style>
  <w:style w:type="character" w:styleId="ListLabel16" w:customStyle="1">
    <w:name w:val="ListLabel 16"/>
    <w:qFormat w:val="1"/>
    <w:rPr>
      <w:rFonts w:cs="Symbol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Wingdings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Wingdings"/>
    </w:rPr>
  </w:style>
  <w:style w:type="character" w:styleId="ListLabel22" w:customStyle="1">
    <w:name w:val="ListLabel 22"/>
    <w:qFormat w:val="1"/>
    <w:rPr>
      <w:rFonts w:cs="Symbol"/>
      <w:sz w:val="24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Wingdings"/>
    </w:rPr>
  </w:style>
  <w:style w:type="character" w:styleId="ListLabel25" w:customStyle="1">
    <w:name w:val="ListLabel 25"/>
    <w:qFormat w:val="1"/>
    <w:rPr>
      <w:rFonts w:cs="Symbol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Wingdings"/>
    </w:rPr>
  </w:style>
  <w:style w:type="character" w:styleId="ListLabel28" w:customStyle="1">
    <w:name w:val="ListLabel 28"/>
    <w:qFormat w:val="1"/>
    <w:rPr>
      <w:rFonts w:cs="Symbol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Wingdings"/>
    </w:rPr>
  </w:style>
  <w:style w:type="character" w:styleId="ListLabel31" w:customStyle="1">
    <w:name w:val="ListLabel 31"/>
    <w:qFormat w:val="1"/>
    <w:rPr>
      <w:rFonts w:cs="Wingdings"/>
      <w:sz w:val="24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Wingdings"/>
    </w:rPr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cs="Symbol"/>
      <w:sz w:val="24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rFonts w:cs="Symbol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Wingdings"/>
    </w:rPr>
  </w:style>
  <w:style w:type="character" w:styleId="ListLabel46" w:customStyle="1">
    <w:name w:val="ListLabel 46"/>
    <w:qFormat w:val="1"/>
    <w:rPr>
      <w:rFonts w:cs="Symbol"/>
    </w:rPr>
  </w:style>
  <w:style w:type="character" w:styleId="ListLabel47" w:customStyle="1">
    <w:name w:val="ListLabel 47"/>
    <w:qFormat w:val="1"/>
    <w:rPr>
      <w:rFonts w:cs="Courier New"/>
    </w:rPr>
  </w:style>
  <w:style w:type="character" w:styleId="ListLabel48" w:customStyle="1">
    <w:name w:val="ListLabel 48"/>
    <w:qFormat w:val="1"/>
    <w:rPr>
      <w:rFonts w:cs="Wingdings"/>
    </w:rPr>
  </w:style>
  <w:style w:type="paragraph" w:styleId="a5">
    <w:name w:val="Title"/>
    <w:basedOn w:val="a"/>
    <w:next w:val="a6"/>
    <w:qFormat w:val="1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paragraph" w:styleId="a6">
    <w:name w:val="Body Text"/>
    <w:basedOn w:val="a"/>
    <w:pPr>
      <w:spacing w:after="140" w:before="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a9">
    <w:name w:val="index heading"/>
    <w:basedOn w:val="a"/>
    <w:qFormat w:val="1"/>
    <w:pPr>
      <w:suppressLineNumbers w:val="1"/>
    </w:pPr>
    <w:rPr>
      <w:rFonts w:cs="Lohit Devanagari"/>
    </w:rPr>
  </w:style>
  <w:style w:type="paragraph" w:styleId="aa">
    <w:name w:val="Balloon Text"/>
    <w:basedOn w:val="a"/>
    <w:uiPriority w:val="99"/>
    <w:semiHidden w:val="1"/>
    <w:unhideWhenUsed w:val="1"/>
    <w:qFormat w:val="1"/>
    <w:rsid w:val="004755B0"/>
    <w:pPr>
      <w:spacing w:before="0"/>
    </w:pPr>
    <w:rPr>
      <w:rFonts w:ascii="Tahoma" w:cs="Tahoma" w:hAnsi="Tahoma"/>
      <w:sz w:val="16"/>
      <w:szCs w:val="16"/>
    </w:rPr>
  </w:style>
  <w:style w:type="paragraph" w:styleId="ab">
    <w:name w:val="List Paragraph"/>
    <w:basedOn w:val="a"/>
    <w:uiPriority w:val="34"/>
    <w:qFormat w:val="1"/>
    <w:rsid w:val="00A534AA"/>
    <w:pPr>
      <w:spacing w:before="0"/>
      <w:ind w:left="720" w:firstLine="0"/>
      <w:contextualSpacing w:val="1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c">
    <w:name w:val="No Spacing"/>
    <w:uiPriority w:val="1"/>
    <w:qFormat w:val="1"/>
    <w:rsid w:val="003325E3"/>
    <w:rPr>
      <w:rFonts w:ascii="Calibri" w:cs="Times New Roman" w:eastAsia="Times New Roman" w:hAnsi="Calibri"/>
      <w:color w:val="00000a"/>
      <w:sz w:val="22"/>
      <w:lang w:eastAsia="ru-RU"/>
    </w:rPr>
  </w:style>
  <w:style w:type="table" w:styleId="ad">
    <w:name w:val="Table Grid"/>
    <w:basedOn w:val="a1"/>
    <w:uiPriority w:val="59"/>
    <w:rsid w:val="00412DF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F96MuOhemn+ybvjppyr0UnFmQ==">AMUW2mVSbIwbVOy5tMkrSOMTIC0H6xWTuyyW2Hg6SqLe/TZfny9etB6ajGcjZin5E4h9uZGsx1JEaqO0cdmFHr/MCcOITLTtYmkY3zqZyY8OhZuO9LfsIY7xaCfRISsjTSSH153F2USd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2020-03-24T11:56:00Z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